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1"/>
      </w:tblGrid>
      <w:tr>
        <w:tc>
          <w:tcPr>
            <w:tcW w:w="4800" w:type="dxa"/>
          </w:tcPr>
          <w:p>
            <w:pPr>
              <w:pStyle w:val="-LettrehDestinataireGEDA"/>
              <w:spacing w:before="120" w:after="12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1001461</wp:posOffset>
                  </wp:positionH>
                  <wp:positionV relativeFrom="page">
                    <wp:posOffset>29210</wp:posOffset>
                  </wp:positionV>
                  <wp:extent cx="1080655" cy="1230087"/>
                  <wp:effectExtent l="0" t="0" r="5715" b="825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PF_CMJN_FR_Vert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55" cy="123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1" w:type="dxa"/>
          </w:tcPr>
          <w:p>
            <w:pPr>
              <w:pStyle w:val="-LettrehDestinataireGEDA"/>
              <w:spacing w:before="120" w:after="12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drawing>
                <wp:inline distT="0" distB="0" distL="0" distR="0">
                  <wp:extent cx="756000" cy="756000"/>
                  <wp:effectExtent l="0" t="0" r="635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-LettrehDestinataireadGEDA"/>
            </w:pPr>
          </w:p>
        </w:tc>
      </w:tr>
      <w:tr>
        <w:tc>
          <w:tcPr>
            <w:tcW w:w="4800" w:type="dxa"/>
          </w:tcPr>
          <w:p>
            <w:pPr>
              <w:pStyle w:val="-LettrehDestinataireGEDA"/>
              <w:spacing w:before="0"/>
              <w:jc w:val="left"/>
              <w:rPr>
                <w:rFonts w:ascii="Century Gothic" w:hAnsi="Century Gothic" w:cs="Arial"/>
                <w:sz w:val="20"/>
                <w:szCs w:val="22"/>
              </w:rPr>
            </w:pPr>
          </w:p>
          <w:p>
            <w:pPr>
              <w:pStyle w:val="-LettrehDestinataireadGEDA"/>
            </w:pPr>
          </w:p>
        </w:tc>
        <w:tc>
          <w:tcPr>
            <w:tcW w:w="4801" w:type="dxa"/>
          </w:tcPr>
          <w:p>
            <w:pPr>
              <w:pStyle w:val="-LettrehDestinataireGEDA"/>
              <w:spacing w:before="0"/>
              <w:jc w:val="left"/>
              <w:rPr>
                <w:szCs w:val="24"/>
              </w:rPr>
            </w:pPr>
          </w:p>
        </w:tc>
      </w:tr>
      <w:tr>
        <w:tc>
          <w:tcPr>
            <w:tcW w:w="4800" w:type="dxa"/>
          </w:tcPr>
          <w:p>
            <w:pPr>
              <w:pStyle w:val="-LettrehDestinataireGEDA"/>
              <w:spacing w:before="120"/>
              <w:rPr>
                <w:sz w:val="26"/>
                <w:szCs w:val="26"/>
              </w:rPr>
            </w:pPr>
          </w:p>
        </w:tc>
        <w:tc>
          <w:tcPr>
            <w:tcW w:w="4801" w:type="dxa"/>
          </w:tcPr>
          <w:p>
            <w:pPr>
              <w:pStyle w:val="-LettrehDestinataireGEDA"/>
              <w:spacing w:before="240"/>
              <w:ind w:left="748"/>
              <w:jc w:val="left"/>
              <w:rPr>
                <w:szCs w:val="24"/>
              </w:rPr>
            </w:pPr>
            <w:r>
              <w:rPr>
                <w:b w:val="0"/>
                <w:caps/>
                <w:noProof w:val="0"/>
                <w:szCs w:val="24"/>
              </w:rPr>
              <w:t xml:space="preserve">      P</w:t>
            </w:r>
            <w:r>
              <w:rPr>
                <w:b w:val="0"/>
                <w:noProof w:val="0"/>
                <w:szCs w:val="24"/>
              </w:rPr>
              <w:t>irae, le 03 septembre 2025</w:t>
            </w:r>
          </w:p>
        </w:tc>
      </w:tr>
    </w:tbl>
    <w:p>
      <w:pPr>
        <w:pStyle w:val="-LettrehDestinataireGEDA"/>
        <w:spacing w:before="0"/>
        <w:jc w:val="left"/>
        <w:rPr>
          <w:rFonts w:ascii="Century Gothic" w:hAnsi="Century Gothic" w:cs="Arial"/>
          <w:sz w:val="20"/>
          <w:szCs w:val="22"/>
        </w:rPr>
      </w:pPr>
    </w:p>
    <w:p>
      <w:pPr>
        <w:pStyle w:val="-LettrehDestinataireadGEDA"/>
        <w:rPr>
          <w:rFonts w:ascii="Century Gothic" w:hAnsi="Century Gothic"/>
          <w:sz w:val="22"/>
        </w:rPr>
      </w:pPr>
    </w:p>
    <w:p>
      <w:pPr>
        <w:pStyle w:val="-LettrehDestinataireadGEDA"/>
        <w:jc w:val="left"/>
        <w:rPr>
          <w:rFonts w:ascii="Century Gothic" w:hAnsi="Century Gothic"/>
          <w:sz w:val="22"/>
        </w:rPr>
      </w:pP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AVIS D’APPEL PUBLIC A LA CONCURRENCE</w:t>
      </w: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FOURNITURE DE PRODUITS D’ENTRETIEN SPECIFIQUE EN CONTACT ALIMENTAIRE</w:t>
      </w: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Annonce n° xxxx</w:t>
      </w: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Informations relatives à l’acheteur public</w:t>
      </w:r>
    </w:p>
    <w:p>
      <w:pPr>
        <w:pStyle w:val="Paragraphedeliste"/>
        <w:autoSpaceDE w:val="0"/>
        <w:autoSpaceDN w:val="0"/>
        <w:adjustRightInd w:val="0"/>
        <w:spacing w:before="120" w:after="120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Catégorie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Etablissement public à caractère administratif (EPA) de la Polynésie française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i/>
          <w:iCs/>
          <w:color w:val="000000"/>
          <w:sz w:val="22"/>
          <w:szCs w:val="22"/>
        </w:rPr>
        <w:t>Nom et coordonnées de l’acheteur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Centre Hospitalier de la Polynésie française (CHPF), Avenue du Général de Gaulle- 98716 Pirae, BP 1640- 98713 Papeete, Tél : 40.48.65.57, courriel : </w:t>
      </w:r>
      <w:hyperlink r:id="rId10" w:history="1">
        <w:r>
          <w:rPr>
            <w:rStyle w:val="Lienhypertexte"/>
            <w:rFonts w:ascii="Century Gothic" w:hAnsi="Century Gothic" w:cs="Arial"/>
            <w:b/>
            <w:i/>
            <w:iCs/>
            <w:sz w:val="22"/>
            <w:szCs w:val="22"/>
          </w:rPr>
          <w:t>dap.marches@cht.pf</w:t>
        </w:r>
      </w:hyperlink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Autorité compétente pour mener les opérations de passation et de signature du marché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Madame Hani TERIIPAIA OTT, Directrice du CHPF.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  <w:t>Objet et caractéristiques principales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Objet : 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La location ponctuelle de véhicule motorisés (voitures et scooters) pour les besoins de mobilité identifiés par les services du Centre Hospitalier de la Polynésie française.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Catégorie de prestations à laquelle se rattache le marché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Service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Lieu d’exécution des prestations ou de livraison de la commande</w:t>
      </w:r>
      <w:r>
        <w:rPr>
          <w:rFonts w:ascii="Century Gothic" w:hAnsi="Century Gothic" w:cs="Arial"/>
          <w:bCs/>
          <w:i/>
          <w:iCs/>
          <w:color w:val="000000"/>
          <w:sz w:val="22"/>
          <w:szCs w:val="22"/>
        </w:rPr>
        <w:t>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Centre Hospitalier de la Polynésie française sauf indication contraire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Durée du marché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Stipulée dans les documents du marché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Prestations divisées en lots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Non alloti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bookmarkStart w:id="0" w:name="_Hlk165877771"/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 xml:space="preserve">Type de procédure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Procédure adaptée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19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autoSpaceDE w:val="0"/>
        <w:autoSpaceDN w:val="0"/>
        <w:adjustRightInd w:val="0"/>
        <w:spacing w:before="120" w:after="120"/>
        <w:ind w:left="119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bookmarkEnd w:id="0"/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lastRenderedPageBreak/>
        <w:t>Critères d’attributions :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  <w:u w:val="single"/>
        </w:rPr>
        <w:t xml:space="preserve">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Les critères d’attribution et les conditions de leur mise en œuvre sont définis dans le règlement de la consultation.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 xml:space="preserve">Date limite de remise des candidatures ou des offres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Le Mardi 23 septembre 2025 à 11h00 (heure de Tahiti)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Renseignements complémentaires :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</w:p>
    <w:p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Adresse auprès de laquelle le dossier de consultation des entreprises peut être consulté, retiré ou téléchargé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Avenue du Général de Gaulle- 98716 Papeete, BP 1640- 98713 Papeete, Tél : 40.48.65.57, courriel : </w:t>
      </w:r>
      <w:hyperlink r:id="rId11" w:history="1">
        <w:r>
          <w:rPr>
            <w:rStyle w:val="Lienhypertexte"/>
            <w:rFonts w:ascii="Century Gothic" w:hAnsi="Century Gothic" w:cs="Arial"/>
            <w:b/>
            <w:i/>
            <w:iCs/>
            <w:sz w:val="22"/>
            <w:szCs w:val="22"/>
          </w:rPr>
          <w:t>dap.marches@cht.pf</w:t>
        </w:r>
      </w:hyperlink>
    </w:p>
    <w:p>
      <w:p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Adresse et modalités pour la remise des plis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CHPF Direction des Achats, de la Logistique, du Biomédical et du Patrimoine 2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  <w:vertAlign w:val="superscript"/>
        </w:rPr>
        <w:t>nd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 niveau côté mer.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Date d’envoi du présent avis à la publication</w:t>
      </w:r>
      <w:r>
        <w:rPr>
          <w:rFonts w:ascii="Century Gothic" w:hAnsi="Century Gothic" w:cs="Arial"/>
          <w:bCs/>
          <w:color w:val="000000"/>
          <w:sz w:val="22"/>
          <w:szCs w:val="22"/>
        </w:rPr>
        <w:t> :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Mercredi 03 septembre 2025</w:t>
      </w:r>
    </w:p>
    <w:sectPr>
      <w:footerReference w:type="default" r:id="rId12"/>
      <w:footerReference w:type="first" r:id="rId13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  <w:jc w:val="center"/>
      <w:rPr>
        <w:rFonts w:ascii="Century Gothic" w:hAnsi="Century Gothic"/>
        <w:sz w:val="16"/>
      </w:rPr>
    </w:pPr>
    <w:r>
      <w:rPr>
        <w:rFonts w:ascii="Century Gothic" w:eastAsia="Calibri" w:hAnsi="Century Gothic"/>
        <w:color w:val="FFA736"/>
        <w:sz w:val="16"/>
        <w:szCs w:val="16"/>
        <w:lang w:eastAsia="en-US"/>
      </w:rPr>
      <w:t xml:space="preserve">■ </w:t>
    </w:r>
    <w:r>
      <w:rPr>
        <w:rFonts w:ascii="Century Gothic" w:hAnsi="Century Gothic"/>
        <w:sz w:val="16"/>
      </w:rPr>
      <w:t xml:space="preserve">Centre Hospitalier de la Polynésie française </w:t>
    </w:r>
    <w:r>
      <w:rPr>
        <w:rFonts w:ascii="Century Gothic" w:hAnsi="Century Gothic"/>
        <w:color w:val="FF5151"/>
        <w:sz w:val="16"/>
        <w:szCs w:val="16"/>
      </w:rPr>
      <w:t xml:space="preserve">■ </w:t>
    </w:r>
    <w:r>
      <w:rPr>
        <w:rFonts w:ascii="Century Gothic" w:hAnsi="Century Gothic"/>
        <w:sz w:val="16"/>
      </w:rPr>
      <w:t xml:space="preserve">Tél 40 48 62 62 </w:t>
    </w:r>
    <w:r>
      <w:rPr>
        <w:rFonts w:ascii="Century Gothic" w:eastAsia="Calibri" w:hAnsi="Century Gothic"/>
        <w:color w:val="00AE5A"/>
        <w:sz w:val="16"/>
        <w:szCs w:val="16"/>
        <w:lang w:eastAsia="en-US"/>
      </w:rPr>
      <w:t>■</w:t>
    </w:r>
    <w:r>
      <w:rPr>
        <w:rFonts w:ascii="Century Gothic" w:hAnsi="Century Gothic"/>
        <w:sz w:val="16"/>
      </w:rPr>
      <w:t xml:space="preserve"> www.chpf.pf </w:t>
    </w:r>
    <w:r>
      <w:rPr>
        <w:rFonts w:ascii="Century Gothic" w:hAnsi="Century Gothic"/>
        <w:color w:val="22BFFD"/>
        <w:sz w:val="16"/>
        <w:szCs w:val="16"/>
      </w:rPr>
      <w:t>■</w:t>
    </w:r>
    <w:r>
      <w:rPr>
        <w:rFonts w:ascii="Century Gothic" w:hAnsi="Century Gothic"/>
        <w:sz w:val="16"/>
      </w:rPr>
      <w:t xml:space="preserve"> BP1640 – 98713 PAPEETE TAHITI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8B9"/>
    <w:multiLevelType w:val="hybridMultilevel"/>
    <w:tmpl w:val="0F14E3CC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126A29A6"/>
    <w:multiLevelType w:val="hybridMultilevel"/>
    <w:tmpl w:val="1C728762"/>
    <w:lvl w:ilvl="0" w:tplc="04A2F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6503"/>
    <w:multiLevelType w:val="hybridMultilevel"/>
    <w:tmpl w:val="4DF4DE9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E45BF"/>
    <w:multiLevelType w:val="hybridMultilevel"/>
    <w:tmpl w:val="7F00987A"/>
    <w:lvl w:ilvl="0" w:tplc="1B780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7257"/>
    <w:multiLevelType w:val="multilevel"/>
    <w:tmpl w:val="C6984D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 w15:restartNumberingAfterBreak="0">
    <w:nsid w:val="1F6226E0"/>
    <w:multiLevelType w:val="hybridMultilevel"/>
    <w:tmpl w:val="D59073BA"/>
    <w:lvl w:ilvl="0" w:tplc="F834793E">
      <w:start w:val="1"/>
      <w:numFmt w:val="bullet"/>
      <w:lvlText w:val="-"/>
      <w:lvlJc w:val="left"/>
      <w:pPr>
        <w:ind w:left="1199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8" w15:restartNumberingAfterBreak="0">
    <w:nsid w:val="200768F4"/>
    <w:multiLevelType w:val="hybridMultilevel"/>
    <w:tmpl w:val="1EF865FC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0180"/>
    <w:multiLevelType w:val="hybridMultilevel"/>
    <w:tmpl w:val="A21441D4"/>
    <w:lvl w:ilvl="0" w:tplc="F842B9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55B"/>
    <w:multiLevelType w:val="singleLevel"/>
    <w:tmpl w:val="DDE067B0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3"/>
        <w:szCs w:val="23"/>
        <w:u w:val="single"/>
      </w:rPr>
    </w:lvl>
  </w:abstractNum>
  <w:abstractNum w:abstractNumId="11" w15:restartNumberingAfterBreak="0">
    <w:nsid w:val="252F33C1"/>
    <w:multiLevelType w:val="singleLevel"/>
    <w:tmpl w:val="65643582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3"/>
        <w:szCs w:val="23"/>
        <w:u w:val="single"/>
      </w:rPr>
    </w:lvl>
  </w:abstractNum>
  <w:abstractNum w:abstractNumId="12" w15:restartNumberingAfterBreak="0">
    <w:nsid w:val="29600FF9"/>
    <w:multiLevelType w:val="hybridMultilevel"/>
    <w:tmpl w:val="A7D29DA8"/>
    <w:lvl w:ilvl="0" w:tplc="89064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E52FD4"/>
    <w:multiLevelType w:val="multilevel"/>
    <w:tmpl w:val="778A44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34043B99"/>
    <w:multiLevelType w:val="hybridMultilevel"/>
    <w:tmpl w:val="39D8844C"/>
    <w:lvl w:ilvl="0" w:tplc="3E548C0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6" w15:restartNumberingAfterBreak="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7" w15:restartNumberingAfterBreak="0">
    <w:nsid w:val="44774140"/>
    <w:multiLevelType w:val="hybridMultilevel"/>
    <w:tmpl w:val="973668CC"/>
    <w:lvl w:ilvl="0" w:tplc="6150B8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70D0C57"/>
    <w:multiLevelType w:val="hybridMultilevel"/>
    <w:tmpl w:val="781E7176"/>
    <w:lvl w:ilvl="0" w:tplc="9E0810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1" w15:restartNumberingAfterBreak="0">
    <w:nsid w:val="591D79DF"/>
    <w:multiLevelType w:val="hybridMultilevel"/>
    <w:tmpl w:val="4C18C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3" w15:restartNumberingAfterBreak="0">
    <w:nsid w:val="5DAD7FFA"/>
    <w:multiLevelType w:val="multilevel"/>
    <w:tmpl w:val="908000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4" w15:restartNumberingAfterBreak="0">
    <w:nsid w:val="5FAA5376"/>
    <w:multiLevelType w:val="hybridMultilevel"/>
    <w:tmpl w:val="A61296B2"/>
    <w:lvl w:ilvl="0" w:tplc="66E6F17C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8E2D5E"/>
    <w:multiLevelType w:val="hybridMultilevel"/>
    <w:tmpl w:val="65A61524"/>
    <w:lvl w:ilvl="0" w:tplc="4DA07F5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B462DDA"/>
    <w:multiLevelType w:val="hybridMultilevel"/>
    <w:tmpl w:val="289C2BB4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F734B89"/>
    <w:multiLevelType w:val="hybridMultilevel"/>
    <w:tmpl w:val="6F823CC2"/>
    <w:lvl w:ilvl="0" w:tplc="9F22519E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41179ED"/>
    <w:multiLevelType w:val="hybridMultilevel"/>
    <w:tmpl w:val="1C2C08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90E63"/>
    <w:multiLevelType w:val="hybridMultilevel"/>
    <w:tmpl w:val="B90A59DA"/>
    <w:lvl w:ilvl="0" w:tplc="A812331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8E94637"/>
    <w:multiLevelType w:val="hybridMultilevel"/>
    <w:tmpl w:val="72464396"/>
    <w:lvl w:ilvl="0" w:tplc="82BE3494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C797F8C"/>
    <w:multiLevelType w:val="multilevel"/>
    <w:tmpl w:val="908000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2" w15:restartNumberingAfterBreak="0">
    <w:nsid w:val="7E1D6B74"/>
    <w:multiLevelType w:val="hybridMultilevel"/>
    <w:tmpl w:val="2446D66C"/>
    <w:lvl w:ilvl="0" w:tplc="C29A01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4" w15:restartNumberingAfterBreak="0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20"/>
  </w:num>
  <w:num w:numId="5">
    <w:abstractNumId w:val="16"/>
  </w:num>
  <w:num w:numId="6">
    <w:abstractNumId w:val="33"/>
  </w:num>
  <w:num w:numId="7">
    <w:abstractNumId w:val="1"/>
  </w:num>
  <w:num w:numId="8">
    <w:abstractNumId w:val="15"/>
  </w:num>
  <w:num w:numId="9">
    <w:abstractNumId w:val="34"/>
  </w:num>
  <w:num w:numId="10">
    <w:abstractNumId w:val="27"/>
  </w:num>
  <w:num w:numId="11">
    <w:abstractNumId w:val="5"/>
  </w:num>
  <w:num w:numId="12">
    <w:abstractNumId w:val="25"/>
  </w:num>
  <w:num w:numId="13">
    <w:abstractNumId w:val="17"/>
  </w:num>
  <w:num w:numId="14">
    <w:abstractNumId w:val="14"/>
  </w:num>
  <w:num w:numId="15">
    <w:abstractNumId w:val="26"/>
  </w:num>
  <w:num w:numId="16">
    <w:abstractNumId w:val="31"/>
  </w:num>
  <w:num w:numId="17">
    <w:abstractNumId w:val="23"/>
  </w:num>
  <w:num w:numId="18">
    <w:abstractNumId w:val="30"/>
  </w:num>
  <w:num w:numId="19">
    <w:abstractNumId w:val="10"/>
  </w:num>
  <w:num w:numId="20">
    <w:abstractNumId w:val="11"/>
  </w:num>
  <w:num w:numId="21">
    <w:abstractNumId w:val="13"/>
  </w:num>
  <w:num w:numId="22">
    <w:abstractNumId w:val="29"/>
  </w:num>
  <w:num w:numId="23">
    <w:abstractNumId w:val="2"/>
  </w:num>
  <w:num w:numId="24">
    <w:abstractNumId w:val="9"/>
  </w:num>
  <w:num w:numId="25">
    <w:abstractNumId w:val="21"/>
  </w:num>
  <w:num w:numId="26">
    <w:abstractNumId w:val="32"/>
  </w:num>
  <w:num w:numId="27">
    <w:abstractNumId w:val="12"/>
  </w:num>
  <w:num w:numId="28">
    <w:abstractNumId w:val="28"/>
  </w:num>
  <w:num w:numId="29">
    <w:abstractNumId w:val="18"/>
  </w:num>
  <w:num w:numId="30">
    <w:abstractNumId w:val="4"/>
  </w:num>
  <w:num w:numId="31">
    <w:abstractNumId w:val="7"/>
  </w:num>
  <w:num w:numId="32">
    <w:abstractNumId w:val="3"/>
  </w:num>
  <w:num w:numId="33">
    <w:abstractNumId w:val="24"/>
  </w:num>
  <w:num w:numId="34">
    <w:abstractNumId w:val="0"/>
  </w:num>
  <w:num w:numId="3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125074-6504-4BBC-90B1-3CE9773E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Titre"/>
    <w:next w:val="-LettreTexteGEDA"/>
    <w:qFormat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pPr>
      <w:spacing w:before="360"/>
    </w:pPr>
  </w:style>
  <w:style w:type="paragraph" w:customStyle="1" w:styleId="-PPNORGEDA">
    <w:name w:val="- PP:NOR                     GED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-EntetePresidenceGEDA">
    <w:name w:val="- Entete:Presidence                   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-DiversSignatairechargGEDA">
    <w:name w:val="- Divers:Signataire (chargé..)  GEDA"/>
    <w:rPr>
      <w:i/>
      <w:caps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Pr>
      <w:sz w:val="24"/>
    </w:rPr>
  </w:style>
  <w:style w:type="paragraph" w:customStyle="1" w:styleId="-LettrebDestinatairetitreGEDA">
    <w:name w:val="- Lettre:b_Destinataire titre     GEDA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Pr>
      <w:b w:val="0"/>
    </w:rPr>
  </w:style>
  <w:style w:type="paragraph" w:customStyle="1" w:styleId="-LettrebDestinataireadGEDA">
    <w:name w:val="- Lettre:b_Destinataire (ad) GEDA"/>
    <w:basedOn w:val="-LettrebDestinatairefoncGEDA"/>
  </w:style>
  <w:style w:type="paragraph" w:customStyle="1" w:styleId="-LettrehDestinataireGEDA">
    <w:name w:val="- Lettre:h_Destinataire    GEDA"/>
    <w:next w:val="-LettrehDestinatairead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pPr>
      <w:spacing w:before="120" w:after="120"/>
    </w:pPr>
    <w:rPr>
      <w:b w:val="0"/>
    </w:rPr>
  </w:style>
  <w:style w:type="paragraph" w:customStyle="1" w:styleId="-LettreDestinataireGEDA">
    <w:name w:val="- Lettre:Destinataire    GEDA"/>
    <w:basedOn w:val="Normal"/>
    <w:next w:val="Normal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Cs w:val="20"/>
    </w:rPr>
  </w:style>
  <w:style w:type="paragraph" w:customStyle="1" w:styleId="-LettreDestinataireadGEDA">
    <w:name w:val="- Lettre:Destinataire (ad)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szCs w:val="20"/>
    </w:rPr>
  </w:style>
  <w:style w:type="paragraph" w:styleId="Notedebasdepage">
    <w:name w:val="footnote text"/>
    <w:basedOn w:val="Normal"/>
    <w:link w:val="NotedebasdepageCar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</w:style>
  <w:style w:type="character" w:styleId="Appelnotedebasdep">
    <w:name w:val="footnote reference"/>
    <w:basedOn w:val="Policepardfaut"/>
    <w:rPr>
      <w:vertAlign w:val="superscript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p.marches@cht.p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p.marches@cht.p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tp\Documents\Mod&#232;les%20Office%20personnalis&#233;s\Mod&#232;le%20NS%202021%20(DG)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rgbClr val="113051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6F5D2-53AC-4594-8DB6-48C40A0C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NS 2021 (DG).dotx</Template>
  <TotalTime>1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Lettre du chef de service</vt:lpstr>
      <vt:lpstr>Lettre du chef de service</vt:lpstr>
      <vt:lpstr/>
      <vt:lpstr/>
    </vt:vector>
  </TitlesOfParts>
  <Company>présidence</Company>
  <LinksUpToDate>false</LinksUpToDate>
  <CharactersWithSpaces>2043</CharactersWithSpaces>
  <SharedDoc>false</SharedDoc>
  <HLinks>
    <vt:vector size="6" baseType="variant">
      <vt:variant>
        <vt:i4>2097235</vt:i4>
      </vt:variant>
      <vt:variant>
        <vt:i4>6</vt:i4>
      </vt:variant>
      <vt:variant>
        <vt:i4>0</vt:i4>
      </vt:variant>
      <vt:variant>
        <vt:i4>5</vt:i4>
      </vt:variant>
      <vt:variant>
        <vt:lpwstr>mailto:directiondesimpots@dicp.gov.pf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v.V17</dc:subject>
  <dc:creator>PENIN Thierry</dc:creator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MAITUI Ramene</cp:lastModifiedBy>
  <cp:revision>3</cp:revision>
  <cp:lastPrinted>2024-02-17T00:02:00Z</cp:lastPrinted>
  <dcterms:created xsi:type="dcterms:W3CDTF">2025-09-03T21:16:00Z</dcterms:created>
  <dcterms:modified xsi:type="dcterms:W3CDTF">2025-09-03T21:17:00Z</dcterms:modified>
</cp:coreProperties>
</file>